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520" w:rsidRDefault="00CD3520" w:rsidP="00CD3520">
      <w:pPr>
        <w:spacing w:line="480" w:lineRule="auto"/>
        <w:jc w:val="center"/>
        <w:rPr>
          <w:b/>
        </w:rPr>
      </w:pPr>
    </w:p>
    <w:p w:rsidR="00CD3520" w:rsidRDefault="00CD3520" w:rsidP="00CD3520">
      <w:pPr>
        <w:spacing w:line="480" w:lineRule="auto"/>
        <w:jc w:val="center"/>
        <w:rPr>
          <w:b/>
        </w:rPr>
      </w:pPr>
    </w:p>
    <w:p w:rsidR="00CD3520" w:rsidRDefault="00CD3520" w:rsidP="00CD3520">
      <w:pPr>
        <w:spacing w:line="480" w:lineRule="auto"/>
        <w:jc w:val="center"/>
        <w:rPr>
          <w:b/>
        </w:rPr>
      </w:pPr>
    </w:p>
    <w:p w:rsidR="00CD3520" w:rsidRPr="00CD3520" w:rsidRDefault="00CD3520" w:rsidP="00CD3520">
      <w:pPr>
        <w:spacing w:line="480" w:lineRule="auto"/>
        <w:jc w:val="center"/>
        <w:rPr>
          <w:b/>
        </w:rPr>
      </w:pPr>
      <w:r w:rsidRPr="00CD3520">
        <w:rPr>
          <w:b/>
        </w:rPr>
        <w:t>Benign Prostatic Hyperplasia (BPH)</w:t>
      </w:r>
    </w:p>
    <w:p w:rsidR="00CD3520" w:rsidRDefault="00CD3520" w:rsidP="00CD3520">
      <w:pPr>
        <w:spacing w:line="480" w:lineRule="auto"/>
        <w:jc w:val="center"/>
      </w:pPr>
    </w:p>
    <w:p w:rsidR="00CD3520" w:rsidRDefault="00CD3520" w:rsidP="00CD3520">
      <w:pPr>
        <w:spacing w:line="480" w:lineRule="auto"/>
      </w:pPr>
    </w:p>
    <w:p w:rsidR="00CD3520" w:rsidRPr="00CD3520" w:rsidRDefault="00CD3520" w:rsidP="00CD3520">
      <w:pPr>
        <w:spacing w:line="480" w:lineRule="auto"/>
        <w:jc w:val="center"/>
      </w:pPr>
      <w:r w:rsidRPr="00CD3520">
        <w:t>Student’s Name</w:t>
      </w:r>
    </w:p>
    <w:p w:rsidR="00CD3520" w:rsidRPr="00CD3520" w:rsidRDefault="00CD3520" w:rsidP="00CD3520">
      <w:pPr>
        <w:spacing w:line="480" w:lineRule="auto"/>
        <w:jc w:val="center"/>
      </w:pPr>
      <w:r w:rsidRPr="00CD3520">
        <w:t>Institution of Affiliation</w:t>
      </w:r>
    </w:p>
    <w:p w:rsidR="00CD3520" w:rsidRPr="00CD3520" w:rsidRDefault="00CD3520" w:rsidP="00CD3520">
      <w:pPr>
        <w:spacing w:line="480" w:lineRule="auto"/>
        <w:jc w:val="center"/>
      </w:pPr>
      <w:r w:rsidRPr="00CD3520">
        <w:t>Professor</w:t>
      </w:r>
    </w:p>
    <w:p w:rsidR="00CD3520" w:rsidRPr="00CD3520" w:rsidRDefault="00CD3520" w:rsidP="00CD3520">
      <w:pPr>
        <w:spacing w:line="480" w:lineRule="auto"/>
        <w:jc w:val="center"/>
      </w:pPr>
      <w:r w:rsidRPr="00CD3520">
        <w:t>Date</w:t>
      </w:r>
    </w:p>
    <w:p w:rsidR="00CD3520" w:rsidRDefault="00CD3520">
      <w:r>
        <w:br w:type="page"/>
      </w:r>
    </w:p>
    <w:p w:rsidR="00CD3520" w:rsidRPr="009D0D62" w:rsidRDefault="00CD3520" w:rsidP="00CD3520">
      <w:pPr>
        <w:spacing w:line="480" w:lineRule="auto"/>
        <w:jc w:val="center"/>
        <w:rPr>
          <w:b/>
        </w:rPr>
      </w:pPr>
      <w:r w:rsidRPr="009D0D62">
        <w:rPr>
          <w:b/>
        </w:rPr>
        <w:lastRenderedPageBreak/>
        <w:t>Benign Prostatic Hyperplasia (BPH)</w:t>
      </w:r>
    </w:p>
    <w:p w:rsidR="00E45622" w:rsidRPr="00CD3520" w:rsidRDefault="00877479" w:rsidP="00CD3520">
      <w:pPr>
        <w:spacing w:line="480" w:lineRule="auto"/>
        <w:ind w:firstLine="720"/>
      </w:pPr>
      <w:r w:rsidRPr="00CD3520">
        <w:t>Benign Prostatic Hyperplasia (BPH) refers the non-malignant enlargement of the prostate gland that is so common in older men. The incidence of the disease increases with age with up 70% of the cases of BPH occurring at the age of 60 years (</w:t>
      </w:r>
      <w:r w:rsidR="00CD3520" w:rsidRPr="00CD3520">
        <w:t>Foo, 2017</w:t>
      </w:r>
      <w:r w:rsidRPr="00CD3520">
        <w:t>). This condition depicts racial predilection with the incidences of the condition being higher in African-Americans (</w:t>
      </w:r>
      <w:r w:rsidR="00CD3520" w:rsidRPr="00CD3520">
        <w:t>Foo, 2017</w:t>
      </w:r>
      <w:r w:rsidRPr="00CD3520">
        <w:t>). Among the risk factors that predispose the individual to BPH is the occurrence of obesity due to the increased concentration of estrogen that occurs in obesity as a result of the ability of the numerous fat cells to synthesize and release this hormone thus greatly increasing the plasma concentration of the hormone that assumes an important role in the pathogenesis of BPH as is explained bellow.</w:t>
      </w:r>
    </w:p>
    <w:p w:rsidR="00877479" w:rsidRPr="00CD3520" w:rsidRDefault="00877479" w:rsidP="00CD3520">
      <w:pPr>
        <w:spacing w:line="480" w:lineRule="auto"/>
        <w:ind w:firstLine="720"/>
      </w:pPr>
      <w:r w:rsidRPr="00CD3520">
        <w:t xml:space="preserve">The pathogenesis of BPH requires the presence of intact testes functioning properly in the production of the hormone testosterone. The hormone testosterone on entering the prostate gland is converted to dihydrotestosterone (DHT) by the 5-alpha reductase enzyme that is present within the stromal and basal </w:t>
      </w:r>
      <w:r w:rsidR="008F484A" w:rsidRPr="00CD3520">
        <w:t>epithelial cells found in the prostate gland</w:t>
      </w:r>
      <w:r w:rsidR="006A401C" w:rsidRPr="00CD3520">
        <w:t xml:space="preserve"> (Foo, 2017)</w:t>
      </w:r>
      <w:r w:rsidR="008F484A" w:rsidRPr="00CD3520">
        <w:t>. The DHT produced binds to nuclear receptors resulting in the increased stromal cell proliferation and impaired epithelial cell apoptosis which lead to the nodular overgrowth of the peri-urethral glands and stroma  within the prostate gland which goes on to constrict the urethra resulting in the clinical manifestations of the disease</w:t>
      </w:r>
      <w:r w:rsidR="006A401C" w:rsidRPr="00CD3520">
        <w:t xml:space="preserve"> (Foo, 2017)</w:t>
      </w:r>
      <w:r w:rsidR="008F484A" w:rsidRPr="00CD3520">
        <w:t>. The nuclear receptors where DHT binds to set in motion hyperplasia in the prostate are upregulated by estradiol, therefore, higher plasma concertation of estrogen as occurs within the settings of obesity would imply that there would be more estradiol and hence higher receptor activities of the nuclear receptors where DHT binds resulting subsequently in higher rates of prostatic hyperplasia (</w:t>
      </w:r>
      <w:r w:rsidR="006A401C" w:rsidRPr="00CD3520">
        <w:t>Foo, 2017</w:t>
      </w:r>
      <w:r w:rsidR="008F484A" w:rsidRPr="00CD3520">
        <w:t>).</w:t>
      </w:r>
    </w:p>
    <w:p w:rsidR="00DA4C0E" w:rsidRPr="00CD3520" w:rsidRDefault="008F484A" w:rsidP="00CD3520">
      <w:pPr>
        <w:spacing w:line="480" w:lineRule="auto"/>
        <w:ind w:firstLine="720"/>
      </w:pPr>
      <w:r w:rsidRPr="00CD3520">
        <w:lastRenderedPageBreak/>
        <w:t xml:space="preserve">The clinical manifestations of BPH include frequency, nocturia, difficulty starting and stopping urination, incontinence, dysuria, hernias, acute urinary retention, and </w:t>
      </w:r>
      <w:r w:rsidR="006901FF" w:rsidRPr="00CD3520">
        <w:t>hematuria</w:t>
      </w:r>
      <w:r w:rsidRPr="00CD3520">
        <w:t xml:space="preserve"> (blood in urine) (</w:t>
      </w:r>
      <w:r w:rsidR="003A10D5" w:rsidRPr="00CD3520">
        <w:t>Foo, 2017</w:t>
      </w:r>
      <w:r w:rsidRPr="00CD3520">
        <w:t xml:space="preserve">). </w:t>
      </w:r>
      <w:r w:rsidR="006901FF" w:rsidRPr="00CD3520">
        <w:t>In the evaluation for the condition, the routinely used schemes include the use of digital rectal examination to check for the physical size of the prostate gland and hence for any enlargement, in addition to conducting biochemical analysis using the markers of prostate cancer; previously prostatic acid phosphatase that is produced by the epithelial cells of prostate glands recently replaced by the more specific, sensitive, and stable Prostate Specific Antigen (PSA) (Ingle, Ramona,</w:t>
      </w:r>
      <w:r w:rsidR="006901FF">
        <w:t xml:space="preserve"> &amp;</w:t>
      </w:r>
      <w:r w:rsidR="006901FF" w:rsidRPr="00CD3520">
        <w:t xml:space="preserve"> Sukesh, 2013). </w:t>
      </w:r>
      <w:r w:rsidR="00DA4C0E" w:rsidRPr="00CD3520">
        <w:t>PSA is a single chain glycoprotein of molecular weight 28.4kDa. The normal levels are usually less than 4 micrograms per liter of blood with a level of between 4-10 micrograms per liter of blood being suggestive of BPH or early organ-confined prostate carcinoma</w:t>
      </w:r>
      <w:r w:rsidR="009D0D62">
        <w:t xml:space="preserve"> (Ingle et al., </w:t>
      </w:r>
      <w:r w:rsidR="003A10D5" w:rsidRPr="00CD3520">
        <w:t>2013)</w:t>
      </w:r>
      <w:r w:rsidR="00DA4C0E" w:rsidRPr="00CD3520">
        <w:t>.</w:t>
      </w:r>
    </w:p>
    <w:p w:rsidR="008F484A" w:rsidRPr="00CD3520" w:rsidRDefault="00DA4C0E" w:rsidP="00CD3520">
      <w:pPr>
        <w:spacing w:line="480" w:lineRule="auto"/>
        <w:ind w:firstLine="720"/>
      </w:pPr>
      <w:r w:rsidRPr="00CD3520">
        <w:t xml:space="preserve">BPH is treated using the selective alpha </w:t>
      </w:r>
      <w:r w:rsidR="006A401C" w:rsidRPr="00CD3520">
        <w:t xml:space="preserve">1A adrenergic blockers the likes of Doxazosin, Tamsulosin, Silodosin, and Alfuzosin which act by way of relaxing smooth muscles in bladder neck and prostate which reduces the obstruction to flow of urine thus giving some relief from the symptoms of the disease (Dhingra &amp; Bhagwat, 2011). </w:t>
      </w:r>
    </w:p>
    <w:p w:rsidR="00CD3520" w:rsidRDefault="00CD3520">
      <w:r>
        <w:br w:type="page"/>
      </w:r>
    </w:p>
    <w:p w:rsidR="006A401C" w:rsidRPr="009D0D62" w:rsidRDefault="006A401C" w:rsidP="00CD3520">
      <w:pPr>
        <w:spacing w:line="480" w:lineRule="auto"/>
        <w:jc w:val="center"/>
        <w:rPr>
          <w:b/>
        </w:rPr>
      </w:pPr>
      <w:r w:rsidRPr="009D0D62">
        <w:rPr>
          <w:b/>
        </w:rPr>
        <w:lastRenderedPageBreak/>
        <w:t>References</w:t>
      </w:r>
    </w:p>
    <w:p w:rsidR="006A401C" w:rsidRPr="00CD3520" w:rsidRDefault="006A401C" w:rsidP="00CD3520">
      <w:pPr>
        <w:spacing w:line="480" w:lineRule="auto"/>
        <w:ind w:left="720" w:hanging="720"/>
      </w:pPr>
      <w:r w:rsidRPr="00CD3520">
        <w:t xml:space="preserve">Dhingra, N. &amp; Bhagwat, D. (2011). Benign Prostatic Hyperplasia: An Overview of Existing Treatmnet. </w:t>
      </w:r>
      <w:r w:rsidRPr="00CD3520">
        <w:rPr>
          <w:i/>
        </w:rPr>
        <w:t>Indian J Pharmac</w:t>
      </w:r>
      <w:bookmarkStart w:id="0" w:name="_GoBack"/>
      <w:bookmarkEnd w:id="0"/>
      <w:r w:rsidRPr="00CD3520">
        <w:rPr>
          <w:i/>
        </w:rPr>
        <w:t>ol</w:t>
      </w:r>
      <w:r w:rsidRPr="00CD3520">
        <w:t>., 43(1): 6-12</w:t>
      </w:r>
    </w:p>
    <w:p w:rsidR="006A401C" w:rsidRPr="00CD3520" w:rsidRDefault="006A401C" w:rsidP="00CD3520">
      <w:pPr>
        <w:spacing w:line="480" w:lineRule="auto"/>
        <w:ind w:left="720" w:hanging="720"/>
      </w:pPr>
      <w:r w:rsidRPr="00CD3520">
        <w:t xml:space="preserve">Foo, T. K. (2017). Pathophysiology of Clinical Benign Prostatic Hyperplasia. </w:t>
      </w:r>
      <w:r w:rsidRPr="00CD3520">
        <w:rPr>
          <w:i/>
        </w:rPr>
        <w:t>Asian J Urol</w:t>
      </w:r>
      <w:r w:rsidRPr="00CD3520">
        <w:t>., 4(3): 152-157</w:t>
      </w:r>
    </w:p>
    <w:p w:rsidR="006A401C" w:rsidRPr="00CD3520" w:rsidRDefault="003A10D5" w:rsidP="00CD3520">
      <w:pPr>
        <w:spacing w:line="480" w:lineRule="auto"/>
        <w:ind w:left="720" w:hanging="720"/>
      </w:pPr>
      <w:r w:rsidRPr="00CD3520">
        <w:t xml:space="preserve">Ingle, S. P., Ramona, I., &amp; Sukesh (2013). The Efficiency of the Serum Prostate Specific Antigen Levels in Diagnosing Prostatic Enlargements. </w:t>
      </w:r>
      <w:r w:rsidRPr="00CD3520">
        <w:rPr>
          <w:i/>
        </w:rPr>
        <w:t>J Clin Diagn Res</w:t>
      </w:r>
      <w:r w:rsidRPr="00CD3520">
        <w:t>., 7(1): 82-84</w:t>
      </w:r>
    </w:p>
    <w:sectPr w:rsidR="006A401C" w:rsidRPr="00CD352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345" w:rsidRDefault="00F00345" w:rsidP="00CD3520">
      <w:pPr>
        <w:spacing w:after="0" w:line="240" w:lineRule="auto"/>
      </w:pPr>
      <w:r>
        <w:separator/>
      </w:r>
    </w:p>
  </w:endnote>
  <w:endnote w:type="continuationSeparator" w:id="0">
    <w:p w:rsidR="00F00345" w:rsidRDefault="00F00345" w:rsidP="00CD3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345" w:rsidRDefault="00F00345" w:rsidP="00CD3520">
      <w:pPr>
        <w:spacing w:after="0" w:line="240" w:lineRule="auto"/>
      </w:pPr>
      <w:r>
        <w:separator/>
      </w:r>
    </w:p>
  </w:footnote>
  <w:footnote w:type="continuationSeparator" w:id="0">
    <w:p w:rsidR="00F00345" w:rsidRDefault="00F00345" w:rsidP="00CD35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8286843"/>
      <w:docPartObj>
        <w:docPartGallery w:val="Page Numbers (Top of Page)"/>
        <w:docPartUnique/>
      </w:docPartObj>
    </w:sdtPr>
    <w:sdtEndPr>
      <w:rPr>
        <w:noProof/>
      </w:rPr>
    </w:sdtEndPr>
    <w:sdtContent>
      <w:p w:rsidR="00CD3520" w:rsidRDefault="00CD3520">
        <w:pPr>
          <w:pStyle w:val="Header"/>
          <w:jc w:val="right"/>
        </w:pPr>
        <w:r>
          <w:fldChar w:fldCharType="begin"/>
        </w:r>
        <w:r>
          <w:instrText xml:space="preserve"> PAGE   \* MERGEFORMAT </w:instrText>
        </w:r>
        <w:r>
          <w:fldChar w:fldCharType="separate"/>
        </w:r>
        <w:r w:rsidR="009D0D62">
          <w:rPr>
            <w:noProof/>
          </w:rPr>
          <w:t>4</w:t>
        </w:r>
        <w:r>
          <w:rPr>
            <w:noProof/>
          </w:rPr>
          <w:fldChar w:fldCharType="end"/>
        </w:r>
      </w:p>
    </w:sdtContent>
  </w:sdt>
  <w:p w:rsidR="00CD3520" w:rsidRDefault="00CD35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620"/>
    <w:rsid w:val="003A10D5"/>
    <w:rsid w:val="006901FF"/>
    <w:rsid w:val="006A1DBB"/>
    <w:rsid w:val="006A401C"/>
    <w:rsid w:val="00877479"/>
    <w:rsid w:val="008F484A"/>
    <w:rsid w:val="009D0D62"/>
    <w:rsid w:val="00CD3520"/>
    <w:rsid w:val="00D74620"/>
    <w:rsid w:val="00DA4C0E"/>
    <w:rsid w:val="00E45622"/>
    <w:rsid w:val="00F00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3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520"/>
  </w:style>
  <w:style w:type="paragraph" w:styleId="Footer">
    <w:name w:val="footer"/>
    <w:basedOn w:val="Normal"/>
    <w:link w:val="FooterChar"/>
    <w:uiPriority w:val="99"/>
    <w:unhideWhenUsed/>
    <w:rsid w:val="00CD3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5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3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520"/>
  </w:style>
  <w:style w:type="paragraph" w:styleId="Footer">
    <w:name w:val="footer"/>
    <w:basedOn w:val="Normal"/>
    <w:link w:val="FooterChar"/>
    <w:uiPriority w:val="99"/>
    <w:unhideWhenUsed/>
    <w:rsid w:val="00CD3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4</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7</cp:revision>
  <dcterms:created xsi:type="dcterms:W3CDTF">2020-06-03T21:32:00Z</dcterms:created>
  <dcterms:modified xsi:type="dcterms:W3CDTF">2020-06-03T22:58:00Z</dcterms:modified>
</cp:coreProperties>
</file>